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09" w:rsidRDefault="0054740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47409" w:rsidRDefault="00547409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47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09" w:rsidRDefault="00547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09" w:rsidRDefault="00547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409" w:rsidRDefault="00547409">
            <w:pPr>
              <w:pStyle w:val="ConsPlusNormal"/>
              <w:jc w:val="right"/>
            </w:pPr>
            <w:r>
              <w:rPr>
                <w:color w:val="392C69"/>
              </w:rPr>
              <w:t xml:space="preserve">КонсультантПлюс | Готовое решение | </w:t>
            </w:r>
            <w:r>
              <w:rPr>
                <w:b/>
                <w:color w:val="392C69"/>
              </w:rPr>
              <w:t>Актуально на 20.01.2023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09" w:rsidRDefault="00547409">
            <w:pPr>
              <w:pStyle w:val="ConsPlusNormal"/>
            </w:pPr>
          </w:p>
        </w:tc>
      </w:tr>
    </w:tbl>
    <w:p w:rsidR="00547409" w:rsidRDefault="00547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47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09" w:rsidRDefault="00547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09" w:rsidRDefault="00547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409" w:rsidRDefault="005474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7409" w:rsidRDefault="00547409">
            <w:pPr>
              <w:pStyle w:val="ConsPlusNormal"/>
              <w:jc w:val="both"/>
            </w:pPr>
            <w:r>
              <w:rPr>
                <w:color w:val="392C69"/>
              </w:rPr>
              <w:t>Материал подходит для всех организаций. Учреждениям (бюджетным, казенным, автономным) применять с учетом примечаний по тексту.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09" w:rsidRDefault="00547409">
            <w:pPr>
              <w:pStyle w:val="ConsPlusNormal"/>
            </w:pPr>
          </w:p>
        </w:tc>
      </w:tr>
    </w:tbl>
    <w:p w:rsidR="00547409" w:rsidRDefault="00547409">
      <w:pPr>
        <w:pStyle w:val="ConsPlusNormal"/>
        <w:spacing w:before="480"/>
      </w:pPr>
      <w:r>
        <w:rPr>
          <w:b/>
          <w:sz w:val="38"/>
        </w:rPr>
        <w:t>Как предоставить и оплатить выходные дни для прохождения работниками диспансеризации</w:t>
      </w:r>
    </w:p>
    <w:p w:rsidR="00547409" w:rsidRDefault="00547409">
      <w:pPr>
        <w:pStyle w:val="ConsPlusNormal"/>
        <w:spacing w:before="220"/>
        <w:jc w:val="both"/>
      </w:pPr>
      <w:r>
        <w:t>Количество дней, предоставляемых в течение года для прохождения диспансеризации, предусмотренной законодательством в сфере охраны здоровья, зависит от возраста работника.</w:t>
      </w:r>
    </w:p>
    <w:p w:rsidR="00547409" w:rsidRDefault="00547409">
      <w:pPr>
        <w:pStyle w:val="ConsPlusNormal"/>
        <w:spacing w:before="220"/>
        <w:jc w:val="both"/>
      </w:pPr>
      <w:hyperlink r:id="rId6">
        <w:r>
          <w:rPr>
            <w:b/>
            <w:color w:val="0000FF"/>
          </w:rPr>
          <w:t>Предпенсионерам</w:t>
        </w:r>
      </w:hyperlink>
      <w:r>
        <w:rPr>
          <w:b/>
        </w:rPr>
        <w:t xml:space="preserve"> и пенсионерам для прохождения диспансеризации</w:t>
      </w:r>
      <w:r>
        <w:t xml:space="preserve"> нужно предоставить два рабочих дня один раз в год (</w:t>
      </w:r>
      <w:hyperlink r:id="rId7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3 ст. 185.1</w:t>
        </w:r>
      </w:hyperlink>
      <w:r>
        <w:t xml:space="preserve"> ТК РФ). Как отметил Минтруд России, по трудовому законодательству не запрещено брать их в разные даты. По мнению ведомства, этот вопрос работодателю и работнику нужно решать в каждом конкретном случае совместно в зависимости от ситуации и с учетом интересов каждой стороны (</w:t>
      </w:r>
      <w:hyperlink r:id="rId8">
        <w:r>
          <w:rPr>
            <w:color w:val="0000FF"/>
          </w:rPr>
          <w:t>Письмо</w:t>
        </w:r>
      </w:hyperlink>
      <w:r>
        <w:t xml:space="preserve"> от 08.09.2020 N 14-2/ООГ-14583).</w:t>
      </w:r>
    </w:p>
    <w:p w:rsidR="00547409" w:rsidRDefault="00547409">
      <w:pPr>
        <w:pStyle w:val="ConsPlusNormal"/>
        <w:spacing w:before="220"/>
        <w:jc w:val="both"/>
      </w:pPr>
      <w:r>
        <w:t>Определить, является ли работник предпенсионером, в общем случае можно с помощью таблицы Минтруда России (</w:t>
      </w:r>
      <w:hyperlink r:id="rId9">
        <w:r>
          <w:rPr>
            <w:color w:val="0000FF"/>
          </w:rPr>
          <w:t>Приложение</w:t>
        </w:r>
      </w:hyperlink>
      <w:r>
        <w:t xml:space="preserve"> к Письму от 18.12.2018 N 21-2/10/П-9349). Если работник относится к тем, кто претендует на досрочное назначение пенсии по старости, нужно учитывать дополнительные условия.</w:t>
      </w:r>
    </w:p>
    <w:p w:rsidR="00547409" w:rsidRDefault="00547409">
      <w:pPr>
        <w:pStyle w:val="ConsPlusNormal"/>
        <w:spacing w:before="220"/>
        <w:jc w:val="both"/>
      </w:pPr>
      <w:r>
        <w:t xml:space="preserve">Работодатель может уточнить сведения о работниках предпенсионного возраста и пенсионерах в СФР. Для этого необходимо заключить соглашение с отделением этого Фонда (Информационное </w:t>
      </w:r>
      <w:hyperlink r:id="rId10">
        <w:r>
          <w:rPr>
            <w:color w:val="0000FF"/>
          </w:rPr>
          <w:t>письмо</w:t>
        </w:r>
      </w:hyperlink>
      <w:r>
        <w:t xml:space="preserve"> ПФР от 18.12.2018 N АД-25-24/25310, ФНПР от 17.12.2018 N 101-114/231).</w:t>
      </w:r>
    </w:p>
    <w:p w:rsidR="00547409" w:rsidRDefault="00547409">
      <w:pPr>
        <w:pStyle w:val="ConsPlusNormal"/>
        <w:spacing w:before="220"/>
        <w:jc w:val="both"/>
      </w:pPr>
      <w:r>
        <w:t>Подтвердить отнесение работника к предпенсионерам можно также справкой, которую выдает территориальный орган СФР (</w:t>
      </w:r>
      <w:hyperlink r:id="rId11">
        <w:r>
          <w:rPr>
            <w:color w:val="0000FF"/>
          </w:rPr>
          <w:t>Письмо</w:t>
        </w:r>
      </w:hyperlink>
      <w:r>
        <w:t xml:space="preserve"> Минтруда России от 24.12.2018 N 16-1/10/П-9611).</w:t>
      </w:r>
    </w:p>
    <w:p w:rsidR="00547409" w:rsidRDefault="00547409">
      <w:pPr>
        <w:pStyle w:val="ConsPlusNormal"/>
        <w:spacing w:before="220"/>
        <w:jc w:val="both"/>
      </w:pPr>
      <w:r>
        <w:rPr>
          <w:b/>
        </w:rPr>
        <w:t>Работникам в возрасте от 40 лет для ежегодной диспансеризации</w:t>
      </w:r>
      <w:r>
        <w:t xml:space="preserve"> нужно предоставить один рабочий день в год. Исключение составляют предпенсионеры и пенсионеры (</w:t>
      </w:r>
      <w:hyperlink r:id="rId12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2 ст. 185.1</w:t>
        </w:r>
      </w:hyperlink>
      <w:r>
        <w:t xml:space="preserve"> ТК РФ).</w:t>
      </w:r>
    </w:p>
    <w:p w:rsidR="00547409" w:rsidRDefault="00547409">
      <w:pPr>
        <w:pStyle w:val="ConsPlusNormal"/>
        <w:spacing w:before="220"/>
        <w:jc w:val="both"/>
      </w:pPr>
      <w:r>
        <w:rPr>
          <w:b/>
        </w:rPr>
        <w:t>Для прохождения диспансеризации работникам в возрасте до 40 лет</w:t>
      </w:r>
      <w:r>
        <w:t xml:space="preserve"> работодатели обязаны предоставить рабочий день один раз в три года (</w:t>
      </w:r>
      <w:hyperlink r:id="rId13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</w:t>
        </w:r>
      </w:hyperlink>
      <w:r>
        <w:t xml:space="preserve">, </w:t>
      </w:r>
      <w:hyperlink r:id="rId14">
        <w:r>
          <w:rPr>
            <w:color w:val="0000FF"/>
          </w:rPr>
          <w:t>2 ст. 185.1</w:t>
        </w:r>
      </w:hyperlink>
      <w:r>
        <w:t xml:space="preserve"> ТК РФ). Проверка того, проходил ли работник диспансеризацию ранее, по мнению Минтруда России, не предусмотрена. Но работодатель может определить, имеет ли работник право проходить диспансеризацию в этом году. Для этого нужно выяснить, соответствует ли возраст сотрудника возрасту проведения диспансеризации (</w:t>
      </w:r>
      <w:hyperlink r:id="rId15">
        <w:r>
          <w:rPr>
            <w:color w:val="0000FF"/>
          </w:rPr>
          <w:t>Письмо</w:t>
        </w:r>
      </w:hyperlink>
      <w:r>
        <w:t xml:space="preserve"> от 08.09.2020 N 14-2/ООГ-14582).</w:t>
      </w:r>
    </w:p>
    <w:p w:rsidR="00547409" w:rsidRDefault="00547409">
      <w:pPr>
        <w:pStyle w:val="ConsPlusNormal"/>
        <w:spacing w:before="220"/>
        <w:jc w:val="both"/>
      </w:pPr>
      <w:r>
        <w:t xml:space="preserve">Чтобы </w:t>
      </w:r>
      <w:r>
        <w:rPr>
          <w:b/>
        </w:rPr>
        <w:t>предоставить рабочий день</w:t>
      </w:r>
      <w:r>
        <w:t xml:space="preserve"> для прохождения диспансеризации:</w:t>
      </w:r>
    </w:p>
    <w:p w:rsidR="00547409" w:rsidRDefault="00547409">
      <w:pPr>
        <w:pStyle w:val="ConsPlusNormal"/>
        <w:numPr>
          <w:ilvl w:val="0"/>
          <w:numId w:val="1"/>
        </w:numPr>
        <w:spacing w:before="220"/>
        <w:jc w:val="both"/>
      </w:pPr>
      <w:r>
        <w:t>получите письменное заявление от работника;</w:t>
      </w:r>
    </w:p>
    <w:p w:rsidR="00547409" w:rsidRDefault="00547409">
      <w:pPr>
        <w:pStyle w:val="ConsPlusNormal"/>
        <w:numPr>
          <w:ilvl w:val="0"/>
          <w:numId w:val="1"/>
        </w:numPr>
        <w:spacing w:before="220"/>
        <w:jc w:val="both"/>
      </w:pPr>
      <w:r>
        <w:t>проверьте, имеет ли право данный работник на предоставление выходного дня (выходных дней) для прохождения диспансеризации в текущем году;</w:t>
      </w:r>
    </w:p>
    <w:p w:rsidR="00547409" w:rsidRDefault="00547409">
      <w:pPr>
        <w:pStyle w:val="ConsPlusNormal"/>
        <w:numPr>
          <w:ilvl w:val="0"/>
          <w:numId w:val="1"/>
        </w:numPr>
        <w:spacing w:before="220"/>
        <w:jc w:val="both"/>
      </w:pPr>
      <w:r>
        <w:t>согласуйте с учетом производственной возможности день (дни) отсутствия работника;</w:t>
      </w:r>
    </w:p>
    <w:p w:rsidR="00547409" w:rsidRDefault="00547409">
      <w:pPr>
        <w:pStyle w:val="ConsPlusNormal"/>
        <w:numPr>
          <w:ilvl w:val="0"/>
          <w:numId w:val="1"/>
        </w:numPr>
        <w:spacing w:before="220"/>
        <w:jc w:val="both"/>
      </w:pPr>
      <w:r>
        <w:lastRenderedPageBreak/>
        <w:t>оформите распорядительный акт (например, приказ). Законодательство этого не требует, однако Роструд рекомендует издать такой приказ, чтобы упорядочить документооборот организации и избежать разногласий с работниками и контролирующими органами (</w:t>
      </w:r>
      <w:proofErr w:type="gramStart"/>
      <w:r>
        <w:t>см</w:t>
      </w:r>
      <w:proofErr w:type="gramEnd"/>
      <w:r>
        <w:t xml:space="preserve">. </w:t>
      </w:r>
      <w:hyperlink r:id="rId16">
        <w:r>
          <w:rPr>
            <w:color w:val="0000FF"/>
          </w:rPr>
          <w:t>Обзор</w:t>
        </w:r>
      </w:hyperlink>
      <w:r>
        <w:t xml:space="preserve"> актуальных вопросов от работников и работодателей за январь 2019 года);</w:t>
      </w:r>
    </w:p>
    <w:p w:rsidR="00547409" w:rsidRDefault="00547409">
      <w:pPr>
        <w:pStyle w:val="ConsPlusNormal"/>
        <w:numPr>
          <w:ilvl w:val="0"/>
          <w:numId w:val="1"/>
        </w:numPr>
        <w:spacing w:before="220"/>
        <w:jc w:val="both"/>
      </w:pPr>
      <w:r>
        <w:t>ознакомьте с приказом работника и его непосредственного руководителя;</w:t>
      </w:r>
    </w:p>
    <w:p w:rsidR="00547409" w:rsidRDefault="00547409">
      <w:pPr>
        <w:pStyle w:val="ConsPlusNormal"/>
        <w:numPr>
          <w:ilvl w:val="0"/>
          <w:numId w:val="1"/>
        </w:numPr>
        <w:spacing w:before="220"/>
        <w:jc w:val="both"/>
      </w:pPr>
      <w:r>
        <w:t>передайте приказ в отдел кадров и бухгалтерию.</w:t>
      </w:r>
    </w:p>
    <w:p w:rsidR="00547409" w:rsidRDefault="00547409">
      <w:pPr>
        <w:pStyle w:val="ConsPlusNormal"/>
        <w:spacing w:before="220"/>
        <w:jc w:val="both"/>
      </w:pPr>
      <w:r>
        <w:t xml:space="preserve">Рабочий день (дни) для прохождения диспансеризации </w:t>
      </w:r>
      <w:r>
        <w:rPr>
          <w:b/>
        </w:rPr>
        <w:t>оплатите в размере среднего заработка</w:t>
      </w:r>
      <w:r>
        <w:t xml:space="preserve">. Средний заработок рассчитайте в порядке, предусмотренном </w:t>
      </w:r>
      <w:hyperlink r:id="rId17">
        <w:r>
          <w:rPr>
            <w:color w:val="0000FF"/>
          </w:rPr>
          <w:t>Положением</w:t>
        </w:r>
      </w:hyperlink>
      <w:r>
        <w:t xml:space="preserve"> о средней заработной плате. Также на этот период необходимо сохранить за сотрудником место работы. Данные обязанности установлены </w:t>
      </w:r>
      <w:hyperlink r:id="rId18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</w:t>
        </w:r>
      </w:hyperlink>
      <w:r>
        <w:t xml:space="preserve"> - </w:t>
      </w:r>
      <w:hyperlink r:id="rId19">
        <w:r>
          <w:rPr>
            <w:color w:val="0000FF"/>
          </w:rPr>
          <w:t>3 ст. 185.1</w:t>
        </w:r>
      </w:hyperlink>
      <w:r>
        <w:t xml:space="preserve"> ТК РФ.</w:t>
      </w:r>
    </w:p>
    <w:p w:rsidR="00547409" w:rsidRDefault="0054740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547409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409" w:rsidRDefault="00547409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47409" w:rsidRDefault="00547409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547409" w:rsidRDefault="00547409">
            <w:pPr>
              <w:pStyle w:val="ConsPlusNormal"/>
              <w:jc w:val="both"/>
            </w:pPr>
            <w:r>
              <w:t xml:space="preserve">См. также: </w:t>
            </w:r>
            <w:hyperlink r:id="rId21">
              <w:r>
                <w:rPr>
                  <w:color w:val="0000FF"/>
                </w:rPr>
                <w:t>Как рассчитать средний заработок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7409" w:rsidRDefault="00547409">
            <w:pPr>
              <w:pStyle w:val="ConsPlusNormal"/>
            </w:pPr>
          </w:p>
        </w:tc>
      </w:tr>
    </w:tbl>
    <w:p w:rsidR="00547409" w:rsidRDefault="00547409">
      <w:pPr>
        <w:pStyle w:val="ConsPlusNormal"/>
        <w:jc w:val="both"/>
      </w:pPr>
    </w:p>
    <w:p w:rsidR="00547409" w:rsidRDefault="00547409">
      <w:pPr>
        <w:pStyle w:val="ConsPlusNormal"/>
        <w:jc w:val="both"/>
      </w:pPr>
      <w:r>
        <w:t xml:space="preserve">Средний заработок за время прохождения диспансеризации нужно выплатить одновременно с зарплатой. При этом средний заработок сохраняется из расчета 8-часового рабочего дня. Если его продолжительность больше 8 часов, оставшиеся часы работник должен отработать в последующий период с учетом соблюдения годовой нормы рабочего времени. В учетном периоде норма рабочего времени за каждый день отсутствия на работе уменьшается на 8 часов. При суммированном учете рабочего времени день (дни) прохождения диспансеризации не учитывается в нормах рабочего времени. В то же время ведомство указало: если работник проходит диспансеризацию в свой выходной день, средний заработок не сохраняется, так как это не предусмотрено Трудовым </w:t>
      </w:r>
      <w:hyperlink r:id="rId22">
        <w:r>
          <w:rPr>
            <w:color w:val="0000FF"/>
          </w:rPr>
          <w:t>кодексом</w:t>
        </w:r>
      </w:hyperlink>
      <w:r>
        <w:t xml:space="preserve"> РФ (Письма Минтруда России от 02.09.2020 </w:t>
      </w:r>
      <w:hyperlink r:id="rId23">
        <w:r>
          <w:rPr>
            <w:color w:val="0000FF"/>
          </w:rPr>
          <w:t>N 14-2/ООГ-14195</w:t>
        </w:r>
      </w:hyperlink>
      <w:r>
        <w:t xml:space="preserve">, от 25.09.2019 </w:t>
      </w:r>
      <w:hyperlink r:id="rId24">
        <w:r>
          <w:rPr>
            <w:color w:val="0000FF"/>
          </w:rPr>
          <w:t>N 14-2/ООГ-6492</w:t>
        </w:r>
      </w:hyperlink>
      <w:r>
        <w:t xml:space="preserve">, от 01.10.2020 </w:t>
      </w:r>
      <w:hyperlink r:id="rId25">
        <w:r>
          <w:rPr>
            <w:color w:val="0000FF"/>
          </w:rPr>
          <w:t>N 14-2/ООГ-15552</w:t>
        </w:r>
      </w:hyperlink>
      <w:r>
        <w:t xml:space="preserve">, сайт </w:t>
      </w:r>
      <w:hyperlink r:id="rId26">
        <w:r>
          <w:rPr>
            <w:color w:val="0000FF"/>
          </w:rPr>
          <w:t>"Онлайнинспекция</w:t>
        </w:r>
        <w:proofErr w:type="gramStart"/>
        <w:r>
          <w:rPr>
            <w:color w:val="0000FF"/>
          </w:rPr>
          <w:t>.Р</w:t>
        </w:r>
        <w:proofErr w:type="gramEnd"/>
        <w:r>
          <w:rPr>
            <w:color w:val="0000FF"/>
          </w:rPr>
          <w:t>Ф"</w:t>
        </w:r>
      </w:hyperlink>
      <w:r>
        <w:t>, 2022).</w:t>
      </w:r>
    </w:p>
    <w:p w:rsidR="00547409" w:rsidRDefault="005474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474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09" w:rsidRDefault="005474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09" w:rsidRDefault="005474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47409" w:rsidRDefault="0054740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7409" w:rsidRDefault="00547409">
            <w:pPr>
              <w:pStyle w:val="ConsPlusNormal"/>
              <w:jc w:val="both"/>
            </w:pPr>
            <w:r>
              <w:rPr>
                <w:b/>
                <w:color w:val="392C69"/>
              </w:rPr>
              <w:t>Для учреждений:</w:t>
            </w:r>
          </w:p>
          <w:p w:rsidR="00547409" w:rsidRDefault="00547409">
            <w:pPr>
              <w:pStyle w:val="ConsPlusNormal"/>
              <w:jc w:val="both"/>
            </w:pPr>
            <w:r>
              <w:rPr>
                <w:color w:val="392C69"/>
              </w:rPr>
              <w:t xml:space="preserve">Все государственные (муниципальные) учреждения независимо от их типа обязаны </w:t>
            </w:r>
            <w:hyperlink r:id="rId27">
              <w:r>
                <w:rPr>
                  <w:color w:val="0000FF"/>
                </w:rPr>
                <w:t>заполнять</w:t>
              </w:r>
            </w:hyperlink>
            <w:r>
              <w:rPr>
                <w:color w:val="392C69"/>
              </w:rPr>
              <w:t xml:space="preserve"> табель учета использования рабочего времени по </w:t>
            </w:r>
            <w:hyperlink r:id="rId28">
              <w:r>
                <w:rPr>
                  <w:color w:val="0000FF"/>
                </w:rPr>
                <w:t>ф. 0504421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47409" w:rsidRDefault="00547409">
            <w:pPr>
              <w:pStyle w:val="ConsPlusNormal"/>
            </w:pPr>
          </w:p>
        </w:tc>
      </w:tr>
    </w:tbl>
    <w:p w:rsidR="00547409" w:rsidRDefault="00547409">
      <w:pPr>
        <w:pStyle w:val="ConsPlusNormal"/>
        <w:spacing w:before="280"/>
        <w:jc w:val="both"/>
      </w:pPr>
      <w:r>
        <w:t xml:space="preserve">Отсутствие работника </w:t>
      </w:r>
      <w:r>
        <w:rPr>
          <w:b/>
        </w:rPr>
        <w:t>отразите в табеле учета рабочего времени</w:t>
      </w:r>
      <w:r>
        <w:t xml:space="preserve">. </w:t>
      </w:r>
      <w:proofErr w:type="gramStart"/>
      <w:r>
        <w:t>Буквенный</w:t>
      </w:r>
      <w:proofErr w:type="gramEnd"/>
      <w:r>
        <w:t xml:space="preserve"> и цифровой коды для данного случая нормативно не определены. Вы вправе самостоятельно установить формы первичных учетных документов, в том числе табель учета рабочего времени (</w:t>
      </w:r>
      <w:hyperlink r:id="rId29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4 ст. 9</w:t>
        </w:r>
      </w:hyperlink>
      <w:r>
        <w:t xml:space="preserve"> Закона N 402-ФЗ). Если разработаны собственные формы, внесите в них дополнение. Если используются унифицированные формы первичной учетной документации по учету труда и его оплате, то утвердите форму с учетом нового кода (</w:t>
      </w:r>
      <w:hyperlink r:id="rId30">
        <w:r>
          <w:rPr>
            <w:color w:val="0000FF"/>
          </w:rPr>
          <w:t>Письмо</w:t>
        </w:r>
      </w:hyperlink>
      <w:r>
        <w:t xml:space="preserve"> Государственной инспекции труда в </w:t>
      </w:r>
      <w:proofErr w:type="gramStart"/>
      <w:r>
        <w:t>г</w:t>
      </w:r>
      <w:proofErr w:type="gramEnd"/>
      <w:r>
        <w:t>. Москве от 13.05.2019 N 77/10-14773-19-ОБ).</w:t>
      </w:r>
    </w:p>
    <w:p w:rsidR="00547409" w:rsidRDefault="00547409">
      <w:pPr>
        <w:pStyle w:val="ConsPlusNormal"/>
        <w:spacing w:before="220"/>
        <w:jc w:val="both"/>
      </w:pPr>
      <w:r>
        <w:t>Например, для отражения в табеле дня (дней) для диспансеризации можно использовать буквенный код "Д" и цифровой "40".</w:t>
      </w:r>
    </w:p>
    <w:p w:rsidR="00547409" w:rsidRDefault="00547409">
      <w:pPr>
        <w:pStyle w:val="ConsPlusNormal"/>
        <w:spacing w:before="220"/>
        <w:jc w:val="both"/>
      </w:pPr>
      <w:r>
        <w:t>Работодатель вправе предусмотреть в локальном нормативном акте обязанность работников представлять справки из медицинских организаций, чтобы подтвердить прохождение диспансеризации в день (дни) освобождения от работы (</w:t>
      </w:r>
      <w:hyperlink r:id="rId31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5 ст. 185.1</w:t>
        </w:r>
      </w:hyperlink>
      <w:r>
        <w:t xml:space="preserve"> ТК РФ).</w:t>
      </w:r>
    </w:p>
    <w:p w:rsidR="00547409" w:rsidRDefault="00547409">
      <w:pPr>
        <w:pStyle w:val="ConsPlusNormal"/>
        <w:spacing w:before="220"/>
        <w:jc w:val="both"/>
      </w:pPr>
      <w:r>
        <w:t xml:space="preserve">Если работодатель не предоставит работнику день (дни) для прохождения диспансеризации, то его могут привлечь к ответственности по </w:t>
      </w:r>
      <w:hyperlink r:id="rId32">
        <w:proofErr w:type="gramStart"/>
        <w:r>
          <w:rPr>
            <w:color w:val="0000FF"/>
          </w:rPr>
          <w:t>ч</w:t>
        </w:r>
        <w:proofErr w:type="gramEnd"/>
        <w:r>
          <w:rPr>
            <w:color w:val="0000FF"/>
          </w:rPr>
          <w:t>. 1</w:t>
        </w:r>
      </w:hyperlink>
      <w:r>
        <w:t xml:space="preserve">, </w:t>
      </w:r>
      <w:hyperlink r:id="rId33">
        <w:r>
          <w:rPr>
            <w:color w:val="0000FF"/>
          </w:rPr>
          <w:t>2 ст. 5.27</w:t>
        </w:r>
      </w:hyperlink>
      <w:r>
        <w:t xml:space="preserve"> КоАП РФ:</w:t>
      </w:r>
    </w:p>
    <w:p w:rsidR="00547409" w:rsidRDefault="00547409">
      <w:pPr>
        <w:pStyle w:val="ConsPlusNormal"/>
        <w:numPr>
          <w:ilvl w:val="0"/>
          <w:numId w:val="2"/>
        </w:numPr>
        <w:spacing w:before="220"/>
        <w:jc w:val="both"/>
      </w:pPr>
      <w:r>
        <w:t>должностному лицу грозит предупреждение или штраф от 1 000 до 5 000 руб. (за повторное нарушение - штраф от 10 000 до 20 000 руб., дисквалификация на один - три года);</w:t>
      </w:r>
    </w:p>
    <w:p w:rsidR="00547409" w:rsidRDefault="00547409">
      <w:pPr>
        <w:pStyle w:val="ConsPlusNormal"/>
        <w:numPr>
          <w:ilvl w:val="0"/>
          <w:numId w:val="2"/>
        </w:numPr>
        <w:spacing w:before="220"/>
        <w:jc w:val="both"/>
      </w:pPr>
      <w:r>
        <w:lastRenderedPageBreak/>
        <w:t>организации-работодателю - предупреждение или штраф от 30 000 до 50 000 руб. (за повторное нарушение - штраф от 50 000 до 70 000 руб.).</w:t>
      </w:r>
    </w:p>
    <w:p w:rsidR="00547409" w:rsidRDefault="00547409">
      <w:pPr>
        <w:pStyle w:val="ConsPlusNormal"/>
        <w:jc w:val="both"/>
      </w:pPr>
    </w:p>
    <w:p w:rsidR="00547409" w:rsidRDefault="00547409">
      <w:pPr>
        <w:pStyle w:val="ConsPlusNormal"/>
        <w:jc w:val="both"/>
      </w:pPr>
    </w:p>
    <w:p w:rsidR="00547409" w:rsidRDefault="0054740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3531" w:rsidRDefault="00443531"/>
    <w:sectPr w:rsidR="00443531" w:rsidSect="0075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309E"/>
    <w:multiLevelType w:val="multilevel"/>
    <w:tmpl w:val="D280024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F13CAE"/>
    <w:multiLevelType w:val="multilevel"/>
    <w:tmpl w:val="7AEC24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47409"/>
    <w:rsid w:val="00443531"/>
    <w:rsid w:val="0054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4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474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B7ADC26F9222A1A3F29C46B80785382DA9235D199185004FAD6AFB7CA8FA5AEFFFAF094ACB6B896EC6A9B182CB202E6E7294A2527D2BAD62E4a7M3M" TargetMode="External"/><Relationship Id="rId13" Type="http://schemas.openxmlformats.org/officeDocument/2006/relationships/hyperlink" Target="consultantplus://offline/ref=5FB7ADC26F9222A1A3F28152AA6FBF3E77A620501C90865318AF3BAE72ADF20AA7EFE14F44C86B823A96ECEFDB986765637189BE527Ea3M6M" TargetMode="External"/><Relationship Id="rId18" Type="http://schemas.openxmlformats.org/officeDocument/2006/relationships/hyperlink" Target="consultantplus://offline/ref=FDF88B2D7064FE9C5E9545C11BF23C9B57A557C7048D95E6B219D1AFE192D8F15F12807B03C5C51F2C52AA1E127AE362D66B83574E9EbBM4M" TargetMode="External"/><Relationship Id="rId26" Type="http://schemas.openxmlformats.org/officeDocument/2006/relationships/hyperlink" Target="consultantplus://offline/ref=FDF88B2D7064FE9C5E9559CB0E8669C85EA250C2068195E6B219D1AFE192D8F15F12807800C7C5147B08BA1A5B2DED7ED5749D54509EB795bAM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F88B2D7064FE9C5E9559C205F23C9B51A453C5018795E6B219D1AFE192D8F14D12D87402C4DB14791DEC4B1Db7MB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FB7ADC26F9222A1A3F28152AA6FBF3E77A620501C90865318AF3BAE72ADF20AA7EFE14F44C86A823A96ECEFDB986765637189BE527Ea3M6M" TargetMode="External"/><Relationship Id="rId12" Type="http://schemas.openxmlformats.org/officeDocument/2006/relationships/hyperlink" Target="consultantplus://offline/ref=5FB7ADC26F9222A1A3F28152AA6FBF3E77A620501C90865318AF3BAE72ADF20AA7EFE14F43C86F823A96ECEFDB986765637189BE527Ea3M6M" TargetMode="External"/><Relationship Id="rId17" Type="http://schemas.openxmlformats.org/officeDocument/2006/relationships/hyperlink" Target="consultantplus://offline/ref=FDF88B2D7064FE9C5E9545C11BF23C9B51A75DC4008595E6B219D1AFE192D8F15F12807800C7C5157808BA1A5B2DED7ED5749D54509EB795bAM4M" TargetMode="External"/><Relationship Id="rId25" Type="http://schemas.openxmlformats.org/officeDocument/2006/relationships/hyperlink" Target="consultantplus://offline/ref=FDF88B2D7064FE9C5E9558D5099A069D0DAA54CA0E809CB7E51B80FAEF97D0A11702CE3D0DC6C5147802EB404B29A429DB689E4B4E9DA995A7A7b7M6M" TargetMode="External"/><Relationship Id="rId33" Type="http://schemas.openxmlformats.org/officeDocument/2006/relationships/hyperlink" Target="consultantplus://offline/ref=FDF88B2D7064FE9C5E9545C11BF23C9B57A557C5068D95E6B219D1AFE192D8F15F12807E04C3C31F2C52AA1E127AE362D66B83574E9EbBM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F88B2D7064FE9C5E9559C205F23C9B51A157C1028695E6B219D1AFE192D8F15F12807800C7C5167B08BA1A5B2DED7ED5749D54509EB795bAM4M" TargetMode="External"/><Relationship Id="rId20" Type="http://schemas.openxmlformats.org/officeDocument/2006/relationships/image" Target="media/image1.png"/><Relationship Id="rId29" Type="http://schemas.openxmlformats.org/officeDocument/2006/relationships/hyperlink" Target="consultantplus://offline/ref=FDF88B2D7064FE9C5E9545C11BF23C9B57A554C3038695E6B219D1AFE192D8F15F12807800C7C6167F08BA1A5B2DED7ED5749D54509EB795bAM4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B7ADC26F9222A1A3F29D58BF1BEA6D7EA7215C1D9D865318AF3BAE72ADF20AB5EFB94045C975896FD9AABAD4a9M9M" TargetMode="External"/><Relationship Id="rId11" Type="http://schemas.openxmlformats.org/officeDocument/2006/relationships/hyperlink" Target="consultantplus://offline/ref=5FB7ADC26F9222A1A3F28152AA6FBF3E70A52A511F90865318AF3BAE72ADF20AB5EFB94045C975896FD9AABAD4a9M9M" TargetMode="External"/><Relationship Id="rId24" Type="http://schemas.openxmlformats.org/officeDocument/2006/relationships/hyperlink" Target="consultantplus://offline/ref=FDF88B2D7064FE9C5E9558D5099A069D0DAA54CB0F849EB7E51B80FAEF97D0A11702CE3D0DC6C5147803E6404B29A429DB689E4B4E9DA995A7A7b7M6M" TargetMode="External"/><Relationship Id="rId32" Type="http://schemas.openxmlformats.org/officeDocument/2006/relationships/hyperlink" Target="consultantplus://offline/ref=FDF88B2D7064FE9C5E9545C11BF23C9B57A557C5068D95E6B219D1AFE192D8F15F12807E04C3C11F2C52AA1E127AE362D66B83574E9EbBM4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FB7ADC26F9222A1A3F29C46B80785382DA9235D169A84014FAD6AFB7CA8FA5AEFFFAF094ACB6B896EC6A8B182CB202E6E7294A2527D2BAD62E4a7M3M" TargetMode="External"/><Relationship Id="rId23" Type="http://schemas.openxmlformats.org/officeDocument/2006/relationships/hyperlink" Target="consultantplus://offline/ref=FDF88B2D7064FE9C5E9558D5099A069D0DAA54CA01839FB1E51B80FAEF97D0A11702CE3D0DC6C5147802EF404B29A429DB689E4B4E9DA995A7A7b7M6M" TargetMode="External"/><Relationship Id="rId28" Type="http://schemas.openxmlformats.org/officeDocument/2006/relationships/hyperlink" Target="consultantplus://offline/ref=FDF88B2D7064FE9C5E9545C11BF23C9B50A157C5048395E6B219D1AFE192D8F15F12807800C6C21C7E08BA1A5B2DED7ED5749D54509EB795bAM4M" TargetMode="External"/><Relationship Id="rId10" Type="http://schemas.openxmlformats.org/officeDocument/2006/relationships/hyperlink" Target="consultantplus://offline/ref=5FB7ADC26F9222A1A3F2884BAD6FBF3E74A626561C9E865318AF3BAE72ADF20AB5EFB94045C975896FD9AABAD4a9M9M" TargetMode="External"/><Relationship Id="rId19" Type="http://schemas.openxmlformats.org/officeDocument/2006/relationships/hyperlink" Target="consultantplus://offline/ref=FDF88B2D7064FE9C5E9545C11BF23C9B57A557C7048D95E6B219D1AFE192D8F15F12807B03C5C41F2C52AA1E127AE362D66B83574E9EbBM4M" TargetMode="External"/><Relationship Id="rId31" Type="http://schemas.openxmlformats.org/officeDocument/2006/relationships/hyperlink" Target="consultantplus://offline/ref=FDF88B2D7064FE9C5E9545C11BF23C9B57A557C7048D95E6B219D1AFE192D8F15F12807B04C5C01F2C52AA1E127AE362D66B83574E9EbBM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B7ADC26F9222A1A3F28152AA6FBF3E70A720531B9D865318AF3BAE72ADF20AA7EFE14C47CA6B8A6CCCFCEB92CF6979606E97BD4C7E35ADa6M1M" TargetMode="External"/><Relationship Id="rId14" Type="http://schemas.openxmlformats.org/officeDocument/2006/relationships/hyperlink" Target="consultantplus://offline/ref=5FB7ADC26F9222A1A3F28152AA6FBF3E77A620501C90865318AF3BAE72ADF20AA7EFE14F43C86F823A96ECEFDB986765637189BE527Ea3M6M" TargetMode="External"/><Relationship Id="rId22" Type="http://schemas.openxmlformats.org/officeDocument/2006/relationships/hyperlink" Target="consultantplus://offline/ref=FDF88B2D7064FE9C5E9545C11BF23C9B57A557C7048D95E6B219D1AFE192D8F14D12D87402C4DB14791DEC4B1Db7MBM" TargetMode="External"/><Relationship Id="rId27" Type="http://schemas.openxmlformats.org/officeDocument/2006/relationships/hyperlink" Target="consultantplus://offline/ref=FDF88B2D7064FE9C5E9559CB0E8669C85EA451C1008295E6B219D1AFE192D8F14D12D87402C4DB14791DEC4B1Db7MBM" TargetMode="External"/><Relationship Id="rId30" Type="http://schemas.openxmlformats.org/officeDocument/2006/relationships/hyperlink" Target="consultantplus://offline/ref=FDF88B2D7064FE9C5E9558D5099A069D0DAA54CA058D9EB2E51B80FAEF97D0A11702CE3D0DC6C5147802E7404B29A429DB689E4B4E9DA995A7A7b7M6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1536</Words>
  <Characters>8757</Characters>
  <Application>Microsoft Office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Babanova</dc:creator>
  <cp:lastModifiedBy>Babanova</cp:lastModifiedBy>
  <cp:revision>1</cp:revision>
  <dcterms:created xsi:type="dcterms:W3CDTF">2023-01-23T12:12:00Z</dcterms:created>
  <dcterms:modified xsi:type="dcterms:W3CDTF">2023-01-23T12:12:00Z</dcterms:modified>
</cp:coreProperties>
</file>